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3D5A" w14:textId="77777777" w:rsidR="009A5F87" w:rsidRPr="0022050A" w:rsidRDefault="009A5F87" w:rsidP="0022050A">
      <w:pPr>
        <w:spacing w:after="0" w:line="480" w:lineRule="auto"/>
        <w:rPr>
          <w:rFonts w:ascii="Times New Roman" w:hAnsi="Times New Roman"/>
          <w:sz w:val="24"/>
          <w:szCs w:val="24"/>
        </w:rPr>
      </w:pPr>
    </w:p>
    <w:p w14:paraId="5CF19137" w14:textId="77777777" w:rsidR="009A5F87" w:rsidRPr="0022050A" w:rsidRDefault="009A5F87" w:rsidP="0022050A">
      <w:pPr>
        <w:spacing w:after="0" w:line="480" w:lineRule="auto"/>
        <w:rPr>
          <w:rFonts w:ascii="Times New Roman" w:hAnsi="Times New Roman"/>
          <w:sz w:val="24"/>
          <w:szCs w:val="24"/>
        </w:rPr>
      </w:pPr>
    </w:p>
    <w:p w14:paraId="3A5CDDEC" w14:textId="77777777" w:rsidR="009A5F87" w:rsidRPr="0022050A" w:rsidRDefault="009A5F87" w:rsidP="0022050A">
      <w:pPr>
        <w:spacing w:after="0" w:line="480" w:lineRule="auto"/>
        <w:rPr>
          <w:rFonts w:ascii="Times New Roman" w:hAnsi="Times New Roman"/>
          <w:sz w:val="24"/>
          <w:szCs w:val="24"/>
        </w:rPr>
      </w:pPr>
    </w:p>
    <w:p w14:paraId="17BA72A4" w14:textId="77777777" w:rsidR="009A5F87" w:rsidRPr="0022050A" w:rsidRDefault="009A5F87" w:rsidP="0022050A">
      <w:pPr>
        <w:spacing w:after="0" w:line="480" w:lineRule="auto"/>
        <w:rPr>
          <w:rFonts w:ascii="Times New Roman" w:hAnsi="Times New Roman"/>
          <w:sz w:val="24"/>
          <w:szCs w:val="24"/>
        </w:rPr>
      </w:pPr>
    </w:p>
    <w:p w14:paraId="66CCB120" w14:textId="77777777" w:rsidR="009A5F87" w:rsidRPr="0022050A" w:rsidRDefault="009A5F87" w:rsidP="0022050A">
      <w:pPr>
        <w:spacing w:after="0" w:line="480" w:lineRule="auto"/>
        <w:rPr>
          <w:rFonts w:ascii="Times New Roman" w:hAnsi="Times New Roman"/>
          <w:sz w:val="24"/>
          <w:szCs w:val="24"/>
        </w:rPr>
      </w:pPr>
    </w:p>
    <w:p w14:paraId="55B417A1" w14:textId="77777777" w:rsidR="009A5F87" w:rsidRPr="002477BB" w:rsidRDefault="00645666" w:rsidP="0022050A">
      <w:pPr>
        <w:spacing w:after="0" w:line="480" w:lineRule="auto"/>
        <w:jc w:val="center"/>
        <w:rPr>
          <w:rFonts w:ascii="Times New Roman" w:hAnsi="Times New Roman"/>
          <w:b/>
          <w:bCs/>
          <w:sz w:val="24"/>
          <w:szCs w:val="24"/>
        </w:rPr>
      </w:pPr>
      <w:r w:rsidRPr="002477BB">
        <w:rPr>
          <w:rFonts w:ascii="Times New Roman" w:hAnsi="Times New Roman"/>
          <w:b/>
          <w:bCs/>
          <w:sz w:val="24"/>
          <w:szCs w:val="24"/>
        </w:rPr>
        <w:t>NURS 6521 Week 2: Pharmacotherapy for Cardiovascular Disorders</w:t>
      </w:r>
    </w:p>
    <w:p w14:paraId="78FB50C1" w14:textId="77777777" w:rsidR="009A5F87" w:rsidRPr="0022050A" w:rsidRDefault="009A5F87" w:rsidP="0022050A">
      <w:pPr>
        <w:spacing w:after="0" w:line="480" w:lineRule="auto"/>
        <w:jc w:val="center"/>
        <w:rPr>
          <w:rFonts w:ascii="Times New Roman" w:hAnsi="Times New Roman"/>
          <w:sz w:val="24"/>
          <w:szCs w:val="24"/>
        </w:rPr>
      </w:pPr>
    </w:p>
    <w:p w14:paraId="5C55F113" w14:textId="77777777" w:rsidR="009A5F87" w:rsidRPr="0022050A" w:rsidRDefault="00645666" w:rsidP="0022050A">
      <w:pPr>
        <w:spacing w:after="0" w:line="480" w:lineRule="auto"/>
        <w:jc w:val="center"/>
        <w:rPr>
          <w:rFonts w:ascii="Times New Roman" w:hAnsi="Times New Roman"/>
          <w:sz w:val="24"/>
          <w:szCs w:val="24"/>
        </w:rPr>
      </w:pPr>
      <w:r w:rsidRPr="0022050A">
        <w:rPr>
          <w:rFonts w:ascii="Times New Roman" w:hAnsi="Times New Roman"/>
          <w:sz w:val="24"/>
          <w:szCs w:val="24"/>
        </w:rPr>
        <w:t>Student Full Name</w:t>
      </w:r>
    </w:p>
    <w:p w14:paraId="680E5492" w14:textId="77777777" w:rsidR="009A5F87" w:rsidRPr="0022050A" w:rsidRDefault="00645666" w:rsidP="0022050A">
      <w:pPr>
        <w:spacing w:after="0" w:line="480" w:lineRule="auto"/>
        <w:jc w:val="center"/>
        <w:rPr>
          <w:rFonts w:ascii="Times New Roman" w:hAnsi="Times New Roman"/>
          <w:sz w:val="24"/>
          <w:szCs w:val="24"/>
        </w:rPr>
      </w:pPr>
      <w:r w:rsidRPr="0022050A">
        <w:rPr>
          <w:rFonts w:ascii="Times New Roman" w:hAnsi="Times New Roman"/>
          <w:sz w:val="24"/>
          <w:szCs w:val="24"/>
        </w:rPr>
        <w:t>Institution Affiliation</w:t>
      </w:r>
    </w:p>
    <w:p w14:paraId="08CF49BF" w14:textId="77777777" w:rsidR="009A5F87" w:rsidRPr="0022050A" w:rsidRDefault="00645666" w:rsidP="0022050A">
      <w:pPr>
        <w:spacing w:after="0" w:line="480" w:lineRule="auto"/>
        <w:jc w:val="center"/>
        <w:rPr>
          <w:rFonts w:ascii="Times New Roman" w:hAnsi="Times New Roman"/>
          <w:sz w:val="24"/>
          <w:szCs w:val="24"/>
        </w:rPr>
      </w:pPr>
      <w:r w:rsidRPr="0022050A">
        <w:rPr>
          <w:rFonts w:ascii="Times New Roman" w:hAnsi="Times New Roman"/>
          <w:sz w:val="24"/>
          <w:szCs w:val="24"/>
        </w:rPr>
        <w:t>Course Full Title</w:t>
      </w:r>
    </w:p>
    <w:p w14:paraId="134CDCA9" w14:textId="77777777" w:rsidR="009A5F87" w:rsidRPr="0022050A" w:rsidRDefault="00645666" w:rsidP="0022050A">
      <w:pPr>
        <w:spacing w:after="0" w:line="480" w:lineRule="auto"/>
        <w:jc w:val="center"/>
        <w:rPr>
          <w:rFonts w:ascii="Times New Roman" w:hAnsi="Times New Roman"/>
          <w:sz w:val="24"/>
          <w:szCs w:val="24"/>
        </w:rPr>
      </w:pPr>
      <w:r w:rsidRPr="0022050A">
        <w:rPr>
          <w:rFonts w:ascii="Times New Roman" w:hAnsi="Times New Roman"/>
          <w:sz w:val="24"/>
          <w:szCs w:val="24"/>
        </w:rPr>
        <w:t>Instructor Full Name</w:t>
      </w:r>
    </w:p>
    <w:p w14:paraId="06BA02AF" w14:textId="77777777" w:rsidR="009A5F87" w:rsidRPr="0022050A" w:rsidRDefault="00645666" w:rsidP="0022050A">
      <w:pPr>
        <w:spacing w:after="0" w:line="480" w:lineRule="auto"/>
        <w:jc w:val="center"/>
        <w:rPr>
          <w:rFonts w:ascii="Times New Roman" w:hAnsi="Times New Roman"/>
          <w:sz w:val="24"/>
          <w:szCs w:val="24"/>
        </w:rPr>
      </w:pPr>
      <w:r w:rsidRPr="0022050A">
        <w:rPr>
          <w:rFonts w:ascii="Times New Roman" w:hAnsi="Times New Roman"/>
          <w:sz w:val="24"/>
          <w:szCs w:val="24"/>
        </w:rPr>
        <w:t xml:space="preserve">Due Date </w:t>
      </w:r>
    </w:p>
    <w:p w14:paraId="2905AB66" w14:textId="77777777" w:rsidR="009A5F87" w:rsidRPr="0022050A" w:rsidRDefault="009A5F87" w:rsidP="0022050A">
      <w:pPr>
        <w:spacing w:after="0" w:line="480" w:lineRule="auto"/>
        <w:jc w:val="center"/>
        <w:rPr>
          <w:rFonts w:ascii="Times New Roman" w:hAnsi="Times New Roman"/>
          <w:sz w:val="24"/>
          <w:szCs w:val="24"/>
        </w:rPr>
      </w:pPr>
    </w:p>
    <w:p w14:paraId="598D27E4" w14:textId="77777777" w:rsidR="009A5F87" w:rsidRPr="0022050A" w:rsidRDefault="009A5F87" w:rsidP="0022050A">
      <w:pPr>
        <w:spacing w:after="0" w:line="480" w:lineRule="auto"/>
        <w:rPr>
          <w:rFonts w:ascii="Times New Roman" w:hAnsi="Times New Roman"/>
          <w:sz w:val="24"/>
          <w:szCs w:val="24"/>
        </w:rPr>
      </w:pPr>
    </w:p>
    <w:p w14:paraId="17404CBE" w14:textId="77777777" w:rsidR="009A5F87" w:rsidRPr="0022050A" w:rsidRDefault="009A5F87" w:rsidP="0022050A">
      <w:pPr>
        <w:spacing w:after="0" w:line="480" w:lineRule="auto"/>
        <w:rPr>
          <w:rFonts w:ascii="Times New Roman" w:hAnsi="Times New Roman"/>
          <w:sz w:val="24"/>
          <w:szCs w:val="24"/>
        </w:rPr>
      </w:pPr>
    </w:p>
    <w:p w14:paraId="18CCD29E" w14:textId="77777777" w:rsidR="009A5F87" w:rsidRPr="0022050A" w:rsidRDefault="009A5F87" w:rsidP="0022050A">
      <w:pPr>
        <w:spacing w:after="0" w:line="480" w:lineRule="auto"/>
        <w:rPr>
          <w:rFonts w:ascii="Times New Roman" w:hAnsi="Times New Roman"/>
          <w:sz w:val="24"/>
          <w:szCs w:val="24"/>
        </w:rPr>
      </w:pPr>
    </w:p>
    <w:p w14:paraId="04B8B6B7" w14:textId="77777777" w:rsidR="009A5F87" w:rsidRPr="0022050A" w:rsidRDefault="009A5F87" w:rsidP="0022050A">
      <w:pPr>
        <w:spacing w:after="0" w:line="480" w:lineRule="auto"/>
        <w:rPr>
          <w:rFonts w:ascii="Times New Roman" w:hAnsi="Times New Roman"/>
          <w:sz w:val="24"/>
          <w:szCs w:val="24"/>
        </w:rPr>
      </w:pPr>
    </w:p>
    <w:p w14:paraId="3D46509D" w14:textId="77777777" w:rsidR="009A5F87" w:rsidRPr="0022050A" w:rsidRDefault="009A5F87" w:rsidP="0022050A">
      <w:pPr>
        <w:spacing w:after="0" w:line="480" w:lineRule="auto"/>
        <w:rPr>
          <w:rFonts w:ascii="Times New Roman" w:hAnsi="Times New Roman"/>
          <w:sz w:val="24"/>
          <w:szCs w:val="24"/>
        </w:rPr>
      </w:pPr>
    </w:p>
    <w:p w14:paraId="4D8F7179" w14:textId="77777777" w:rsidR="009A5F87" w:rsidRPr="0022050A" w:rsidRDefault="009A5F87" w:rsidP="0022050A">
      <w:pPr>
        <w:spacing w:after="0" w:line="480" w:lineRule="auto"/>
        <w:rPr>
          <w:rFonts w:ascii="Times New Roman" w:hAnsi="Times New Roman"/>
          <w:sz w:val="24"/>
          <w:szCs w:val="24"/>
        </w:rPr>
      </w:pPr>
    </w:p>
    <w:p w14:paraId="13011204" w14:textId="77777777" w:rsidR="009A5F87" w:rsidRPr="0022050A" w:rsidRDefault="009A5F87" w:rsidP="0022050A">
      <w:pPr>
        <w:spacing w:after="0" w:line="480" w:lineRule="auto"/>
        <w:rPr>
          <w:rFonts w:ascii="Times New Roman" w:hAnsi="Times New Roman"/>
          <w:sz w:val="24"/>
          <w:szCs w:val="24"/>
        </w:rPr>
      </w:pPr>
    </w:p>
    <w:p w14:paraId="2B1CDBE0" w14:textId="77777777" w:rsidR="009A5F87" w:rsidRPr="0022050A" w:rsidRDefault="009A5F87" w:rsidP="0022050A">
      <w:pPr>
        <w:spacing w:after="0" w:line="480" w:lineRule="auto"/>
        <w:rPr>
          <w:rFonts w:ascii="Times New Roman" w:hAnsi="Times New Roman"/>
          <w:sz w:val="24"/>
          <w:szCs w:val="24"/>
        </w:rPr>
      </w:pPr>
    </w:p>
    <w:p w14:paraId="0D2BF19A" w14:textId="77777777" w:rsidR="0022050A" w:rsidRDefault="0022050A" w:rsidP="0022050A">
      <w:pPr>
        <w:spacing w:after="0" w:line="480" w:lineRule="auto"/>
        <w:rPr>
          <w:rFonts w:ascii="Times New Roman" w:hAnsi="Times New Roman"/>
          <w:sz w:val="24"/>
          <w:szCs w:val="24"/>
        </w:rPr>
      </w:pPr>
    </w:p>
    <w:p w14:paraId="69E05086" w14:textId="77777777" w:rsidR="0022050A" w:rsidRPr="0022050A" w:rsidRDefault="0022050A" w:rsidP="0022050A">
      <w:pPr>
        <w:spacing w:after="0" w:line="480" w:lineRule="auto"/>
        <w:rPr>
          <w:rFonts w:ascii="Times New Roman" w:hAnsi="Times New Roman"/>
          <w:sz w:val="24"/>
          <w:szCs w:val="24"/>
        </w:rPr>
      </w:pPr>
    </w:p>
    <w:p w14:paraId="5D7E0BA1" w14:textId="77777777" w:rsidR="009A5F87" w:rsidRPr="0022050A" w:rsidRDefault="00645666" w:rsidP="0022050A">
      <w:pPr>
        <w:spacing w:after="0" w:line="480" w:lineRule="auto"/>
        <w:jc w:val="center"/>
        <w:rPr>
          <w:rFonts w:ascii="Times New Roman" w:hAnsi="Times New Roman"/>
          <w:b/>
          <w:bCs/>
          <w:sz w:val="24"/>
          <w:szCs w:val="24"/>
        </w:rPr>
      </w:pPr>
      <w:r w:rsidRPr="0022050A">
        <w:rPr>
          <w:rFonts w:ascii="Times New Roman" w:hAnsi="Times New Roman"/>
          <w:b/>
          <w:bCs/>
          <w:sz w:val="24"/>
          <w:szCs w:val="24"/>
        </w:rPr>
        <w:lastRenderedPageBreak/>
        <w:t>NURS 6521 Week 2: Pharmacotherapy for Cardiovascular Disorders</w:t>
      </w:r>
    </w:p>
    <w:p w14:paraId="47910F5B" w14:textId="77777777" w:rsidR="009A5F87" w:rsidRPr="0022050A" w:rsidRDefault="00645666" w:rsidP="0022050A">
      <w:pPr>
        <w:spacing w:after="0" w:line="480" w:lineRule="auto"/>
        <w:ind w:firstLine="720"/>
        <w:rPr>
          <w:rFonts w:ascii="Times New Roman" w:hAnsi="Times New Roman"/>
          <w:sz w:val="24"/>
          <w:szCs w:val="24"/>
        </w:rPr>
      </w:pPr>
      <w:r w:rsidRPr="0022050A">
        <w:rPr>
          <w:rFonts w:ascii="Times New Roman" w:hAnsi="Times New Roman"/>
          <w:sz w:val="24"/>
          <w:szCs w:val="24"/>
        </w:rPr>
        <w:t xml:space="preserve">Drug pharmacokinetics and pharmacodynamics are essential factors for consideration when prescribing and administering medications. According to Rosenthal &amp; Burchum (2021), drug pharmacokinetics entails four components; absorption, distribution, metabolism, and excretion. Absorption is the drug's movement from the administration site to the </w:t>
      </w:r>
      <w:r w:rsidR="0022050A" w:rsidRPr="0022050A">
        <w:rPr>
          <w:rFonts w:ascii="Times New Roman" w:hAnsi="Times New Roman"/>
          <w:sz w:val="24"/>
          <w:szCs w:val="24"/>
        </w:rPr>
        <w:t>bloodstream</w:t>
      </w:r>
      <w:r w:rsidRPr="0022050A">
        <w:rPr>
          <w:rFonts w:ascii="Times New Roman" w:hAnsi="Times New Roman"/>
          <w:sz w:val="24"/>
          <w:szCs w:val="24"/>
        </w:rPr>
        <w:t xml:space="preserve"> whole distribution is its subsequent movement from the blood to the interstitial tissue spaces and into the cell. On the other hand, metabolism is the enzymatically-mediated alteration of the drug structure upon </w:t>
      </w:r>
      <w:r w:rsidR="0022050A" w:rsidRPr="0022050A">
        <w:rPr>
          <w:rFonts w:ascii="Times New Roman" w:hAnsi="Times New Roman"/>
          <w:sz w:val="24"/>
          <w:szCs w:val="24"/>
        </w:rPr>
        <w:t>moving</w:t>
      </w:r>
      <w:r w:rsidRPr="0022050A">
        <w:rPr>
          <w:rFonts w:ascii="Times New Roman" w:hAnsi="Times New Roman"/>
          <w:sz w:val="24"/>
          <w:szCs w:val="24"/>
        </w:rPr>
        <w:t xml:space="preserve"> into the cells (Rosenthal &amp; Burchum, 2021, p. 81). Finally, pharmacodynamics refers to the biochemical and physiologic effects of drugs on the body's molecular mechanisms. Although healthcare professionals administer specific medications to patients demonstrating specific systems, individual modifiable and non-modifiable factors such as age gender, genetics, and body composition affect the subsequent pharmacokinetics and pharmacodynamics of the administered drugs. Consequently, this paper elaborates on how age affects the pharmacokinetics and pharmacodynamics of antihypertensive drugs and recommendations for changes to pharmacotherapy required to optimize the patient's therapeutic plan. </w:t>
      </w:r>
    </w:p>
    <w:p w14:paraId="2306F72B" w14:textId="77777777" w:rsidR="009A5F87" w:rsidRPr="0022050A" w:rsidRDefault="00645666" w:rsidP="0022050A">
      <w:pPr>
        <w:spacing w:after="0" w:line="480" w:lineRule="auto"/>
        <w:jc w:val="center"/>
        <w:rPr>
          <w:rFonts w:ascii="Times New Roman" w:hAnsi="Times New Roman"/>
          <w:b/>
          <w:bCs/>
          <w:sz w:val="24"/>
          <w:szCs w:val="24"/>
        </w:rPr>
      </w:pPr>
      <w:r w:rsidRPr="0022050A">
        <w:rPr>
          <w:rFonts w:ascii="Times New Roman" w:hAnsi="Times New Roman"/>
          <w:b/>
          <w:bCs/>
          <w:sz w:val="24"/>
          <w:szCs w:val="24"/>
        </w:rPr>
        <w:t>Review of the Patient's Case Study and Therapeutic Plan</w:t>
      </w:r>
    </w:p>
    <w:p w14:paraId="5D44EFAE" w14:textId="77777777" w:rsidR="009A5F87" w:rsidRPr="0022050A" w:rsidRDefault="00645666" w:rsidP="0022050A">
      <w:pPr>
        <w:spacing w:after="0" w:line="480" w:lineRule="auto"/>
        <w:ind w:firstLine="720"/>
        <w:rPr>
          <w:rFonts w:ascii="Times New Roman" w:hAnsi="Times New Roman"/>
          <w:sz w:val="24"/>
          <w:szCs w:val="24"/>
        </w:rPr>
      </w:pPr>
      <w:r w:rsidRPr="0022050A">
        <w:rPr>
          <w:rFonts w:ascii="Times New Roman" w:hAnsi="Times New Roman"/>
          <w:sz w:val="24"/>
          <w:szCs w:val="24"/>
        </w:rPr>
        <w:t xml:space="preserve">The case scenario </w:t>
      </w:r>
      <w:r w:rsidR="0022050A" w:rsidRPr="0022050A">
        <w:rPr>
          <w:rFonts w:ascii="Times New Roman" w:hAnsi="Times New Roman"/>
          <w:sz w:val="24"/>
          <w:szCs w:val="24"/>
        </w:rPr>
        <w:t>involves</w:t>
      </w:r>
      <w:r w:rsidRPr="0022050A">
        <w:rPr>
          <w:rFonts w:ascii="Times New Roman" w:hAnsi="Times New Roman"/>
          <w:sz w:val="24"/>
          <w:szCs w:val="24"/>
        </w:rPr>
        <w:t xml:space="preserve"> a 74-year-old African American male patient (BN) suffering from various symptoms of hypertension, including irregular heartbeat and dizziness. The patient has a history of multiple </w:t>
      </w:r>
      <w:r w:rsidR="0022050A" w:rsidRPr="0022050A">
        <w:rPr>
          <w:rFonts w:ascii="Times New Roman" w:hAnsi="Times New Roman"/>
          <w:sz w:val="24"/>
          <w:szCs w:val="24"/>
        </w:rPr>
        <w:t>comorbidities</w:t>
      </w:r>
      <w:r w:rsidRPr="0022050A">
        <w:rPr>
          <w:rFonts w:ascii="Times New Roman" w:hAnsi="Times New Roman"/>
          <w:sz w:val="24"/>
          <w:szCs w:val="24"/>
        </w:rPr>
        <w:t xml:space="preserve"> associated with cardiovascular conditions like myocardial infarction (MI), and atrial fibrillation (Afib). Also, he has a history of type II diabetes mellitus (T2DM) and </w:t>
      </w:r>
      <w:r w:rsidR="0022050A" w:rsidRPr="0022050A">
        <w:rPr>
          <w:rFonts w:ascii="Times New Roman" w:hAnsi="Times New Roman"/>
          <w:sz w:val="24"/>
          <w:szCs w:val="24"/>
        </w:rPr>
        <w:t>coronary artery disease</w:t>
      </w:r>
      <w:r w:rsidRPr="0022050A">
        <w:rPr>
          <w:rFonts w:ascii="Times New Roman" w:hAnsi="Times New Roman"/>
          <w:sz w:val="24"/>
          <w:szCs w:val="24"/>
        </w:rPr>
        <w:t xml:space="preserve"> (CAD). Upon presentation to the hospital, the primary care physician (PCP) administers various medications to the patient, including Digoxin 0.25 mg, </w:t>
      </w:r>
      <w:r w:rsidRPr="0022050A">
        <w:rPr>
          <w:rFonts w:ascii="Times New Roman" w:hAnsi="Times New Roman"/>
          <w:sz w:val="24"/>
          <w:szCs w:val="24"/>
        </w:rPr>
        <w:lastRenderedPageBreak/>
        <w:t xml:space="preserve">Diltiazem CD 180 mg, Metoprolol 5-mg, BID Warfarin 5mg, Lisinopril 20 mg, Imdur 30 mg, and HCTZ 12.5 mg. </w:t>
      </w:r>
    </w:p>
    <w:p w14:paraId="38ABD5DB" w14:textId="77777777" w:rsidR="009A5F87" w:rsidRPr="0022050A" w:rsidRDefault="00645666" w:rsidP="0022050A">
      <w:pPr>
        <w:spacing w:after="0" w:line="480" w:lineRule="auto"/>
        <w:jc w:val="center"/>
        <w:rPr>
          <w:rFonts w:ascii="Times New Roman" w:hAnsi="Times New Roman"/>
          <w:b/>
          <w:bCs/>
          <w:sz w:val="24"/>
          <w:szCs w:val="24"/>
        </w:rPr>
      </w:pPr>
      <w:r w:rsidRPr="0022050A">
        <w:rPr>
          <w:rFonts w:ascii="Times New Roman" w:hAnsi="Times New Roman"/>
          <w:b/>
          <w:bCs/>
          <w:sz w:val="24"/>
          <w:szCs w:val="24"/>
        </w:rPr>
        <w:t xml:space="preserve">How Patient's Age </w:t>
      </w:r>
      <w:r w:rsidR="0022050A" w:rsidRPr="0022050A">
        <w:rPr>
          <w:rFonts w:ascii="Times New Roman" w:hAnsi="Times New Roman"/>
          <w:b/>
          <w:bCs/>
          <w:sz w:val="24"/>
          <w:szCs w:val="24"/>
        </w:rPr>
        <w:t>Can</w:t>
      </w:r>
      <w:r w:rsidRPr="0022050A">
        <w:rPr>
          <w:rFonts w:ascii="Times New Roman" w:hAnsi="Times New Roman"/>
          <w:b/>
          <w:bCs/>
          <w:sz w:val="24"/>
          <w:szCs w:val="24"/>
        </w:rPr>
        <w:t xml:space="preserve"> Affect the Pharmacokinetics and Pharmacodynamics of these Drugs</w:t>
      </w:r>
    </w:p>
    <w:p w14:paraId="3337FEC3" w14:textId="77777777" w:rsidR="009A5F87" w:rsidRPr="0022050A" w:rsidRDefault="00645666" w:rsidP="0022050A">
      <w:pPr>
        <w:spacing w:after="0" w:line="480" w:lineRule="auto"/>
        <w:ind w:firstLine="720"/>
        <w:rPr>
          <w:rFonts w:ascii="Times New Roman" w:hAnsi="Times New Roman"/>
          <w:sz w:val="24"/>
          <w:szCs w:val="24"/>
        </w:rPr>
      </w:pPr>
      <w:r w:rsidRPr="0022050A">
        <w:rPr>
          <w:rFonts w:ascii="Times New Roman" w:hAnsi="Times New Roman"/>
          <w:sz w:val="24"/>
          <w:szCs w:val="24"/>
        </w:rPr>
        <w:t xml:space="preserve">Age is a non-modifiable factor that results in various changes in body organs. According to Drenth-van Maanen et al. (2019), age-related body changes, including impaired vision, swallowing, motor, and cognitive functions can affect medication administration and the subsequent intake. For instance, changes in body functions can lead to impaired drug dissolution, decreased absorption, increased absorption of high-clearance drugs, increased concentration of free drugs, and decreased hepatic blood flow and hepatic mass that reduce drug metabolism. Equally, older adults are susceptible to decreased renal blood flow and reduced glomerular filtration rate that affect drug elimination through excretion (Drenth-van Maanen et al., 2019). Schwartz et al. (2018) argue that age results in altered end-organ responsiveness to drugs and reduced cardiac and baroreflex responses. Also, older adults add vulnerable to adverse events associated with the drugs' side effects. For example, the patient may be susceptible to </w:t>
      </w:r>
      <w:r w:rsidR="0022050A" w:rsidRPr="0022050A">
        <w:rPr>
          <w:rFonts w:ascii="Times New Roman" w:hAnsi="Times New Roman"/>
          <w:sz w:val="24"/>
          <w:szCs w:val="24"/>
        </w:rPr>
        <w:t>Digoxin-related</w:t>
      </w:r>
      <w:r w:rsidRPr="0022050A">
        <w:rPr>
          <w:rFonts w:ascii="Times New Roman" w:hAnsi="Times New Roman"/>
          <w:sz w:val="24"/>
          <w:szCs w:val="24"/>
        </w:rPr>
        <w:t xml:space="preserve"> side effects, including irregular heartbeat, blurred vision, and headache. Therefore, it is essential to consider his intrinsic factors when administering antihypertensive drugs. </w:t>
      </w:r>
    </w:p>
    <w:p w14:paraId="06354E45" w14:textId="77777777" w:rsidR="009A5F87" w:rsidRPr="0022050A" w:rsidRDefault="00645666" w:rsidP="0022050A">
      <w:pPr>
        <w:spacing w:after="0" w:line="480" w:lineRule="auto"/>
        <w:jc w:val="center"/>
        <w:rPr>
          <w:rFonts w:ascii="Times New Roman" w:hAnsi="Times New Roman"/>
          <w:b/>
          <w:bCs/>
          <w:sz w:val="24"/>
          <w:szCs w:val="24"/>
        </w:rPr>
      </w:pPr>
      <w:r w:rsidRPr="0022050A">
        <w:rPr>
          <w:rFonts w:ascii="Times New Roman" w:hAnsi="Times New Roman"/>
          <w:b/>
          <w:bCs/>
          <w:sz w:val="24"/>
          <w:szCs w:val="24"/>
        </w:rPr>
        <w:t>Recommendations for Changes in Pharmacotherapy to Optimize the Patient's Therapeutic Plan</w:t>
      </w:r>
    </w:p>
    <w:p w14:paraId="46084EDC" w14:textId="77777777" w:rsidR="009A5F87" w:rsidRPr="0022050A" w:rsidRDefault="00645666" w:rsidP="0022050A">
      <w:pPr>
        <w:spacing w:after="0" w:line="480" w:lineRule="auto"/>
        <w:ind w:firstLine="720"/>
        <w:rPr>
          <w:rFonts w:ascii="Times New Roman" w:hAnsi="Times New Roman"/>
          <w:sz w:val="24"/>
          <w:szCs w:val="24"/>
        </w:rPr>
      </w:pPr>
      <w:r w:rsidRPr="0022050A">
        <w:rPr>
          <w:rFonts w:ascii="Times New Roman" w:hAnsi="Times New Roman"/>
          <w:sz w:val="24"/>
          <w:szCs w:val="24"/>
        </w:rPr>
        <w:t xml:space="preserve">As a primary care physician (PCP), I would maintain the </w:t>
      </w:r>
      <w:r w:rsidR="0022050A" w:rsidRPr="0022050A">
        <w:rPr>
          <w:rFonts w:ascii="Times New Roman" w:hAnsi="Times New Roman"/>
          <w:sz w:val="24"/>
          <w:szCs w:val="24"/>
        </w:rPr>
        <w:t>low-end</w:t>
      </w:r>
      <w:r w:rsidRPr="0022050A">
        <w:rPr>
          <w:rFonts w:ascii="Times New Roman" w:hAnsi="Times New Roman"/>
          <w:sz w:val="24"/>
          <w:szCs w:val="24"/>
        </w:rPr>
        <w:t xml:space="preserve"> dosage of various medications for preventing hypertension, including Imdur 30 mg, Digoxin 0.25 mg, Metoprolol </w:t>
      </w:r>
      <w:r w:rsidR="0022050A" w:rsidRPr="0022050A">
        <w:rPr>
          <w:rFonts w:ascii="Times New Roman" w:hAnsi="Times New Roman"/>
          <w:sz w:val="24"/>
          <w:szCs w:val="24"/>
        </w:rPr>
        <w:t>5 mg</w:t>
      </w:r>
      <w:r w:rsidRPr="0022050A">
        <w:rPr>
          <w:rFonts w:ascii="Times New Roman" w:hAnsi="Times New Roman"/>
          <w:sz w:val="24"/>
          <w:szCs w:val="24"/>
        </w:rPr>
        <w:t xml:space="preserve">, and Lisinopril 20 mg. The objective of maintaining a </w:t>
      </w:r>
      <w:r w:rsidR="0022050A" w:rsidRPr="0022050A">
        <w:rPr>
          <w:rFonts w:ascii="Times New Roman" w:hAnsi="Times New Roman"/>
          <w:sz w:val="24"/>
          <w:szCs w:val="24"/>
        </w:rPr>
        <w:t>low-end</w:t>
      </w:r>
      <w:r w:rsidRPr="0022050A">
        <w:rPr>
          <w:rFonts w:ascii="Times New Roman" w:hAnsi="Times New Roman"/>
          <w:sz w:val="24"/>
          <w:szCs w:val="24"/>
        </w:rPr>
        <w:t xml:space="preserve"> dosage of these medications is to prevent their side effects. Secondly, I would adopt a dosing model which includes a broad </w:t>
      </w:r>
      <w:r w:rsidRPr="0022050A">
        <w:rPr>
          <w:rFonts w:ascii="Times New Roman" w:hAnsi="Times New Roman"/>
          <w:sz w:val="24"/>
          <w:szCs w:val="24"/>
        </w:rPr>
        <w:lastRenderedPageBreak/>
        <w:t xml:space="preserve">range of personalized factors, including the consideration of the underlying type II diabetes mellitus (DM) as a pharmacotherapeutic factor. Schwartz et al. (2018) recommend aligning medications with person-centered goals and developing tools to determine patient preferences as ideal strategies for optimizing a patient's therapeutic plan. As a PCP, I would incorporate new technologies such as telemedicine, involve the patient in a collaborative care plan, educate him on medication adherence, and develop a follow-up plan to ensure adherence to these medications. </w:t>
      </w:r>
    </w:p>
    <w:p w14:paraId="47C624B0" w14:textId="77777777" w:rsidR="009A5F87" w:rsidRPr="0022050A" w:rsidRDefault="00645666" w:rsidP="0022050A">
      <w:pPr>
        <w:spacing w:after="0" w:line="480" w:lineRule="auto"/>
        <w:jc w:val="center"/>
        <w:rPr>
          <w:rFonts w:ascii="Times New Roman" w:hAnsi="Times New Roman"/>
          <w:b/>
          <w:bCs/>
          <w:sz w:val="24"/>
          <w:szCs w:val="24"/>
        </w:rPr>
      </w:pPr>
      <w:r w:rsidRPr="0022050A">
        <w:rPr>
          <w:rFonts w:ascii="Times New Roman" w:hAnsi="Times New Roman"/>
          <w:b/>
          <w:bCs/>
          <w:sz w:val="24"/>
          <w:szCs w:val="24"/>
        </w:rPr>
        <w:t>Conclusion</w:t>
      </w:r>
    </w:p>
    <w:p w14:paraId="177A5AD1" w14:textId="77777777" w:rsidR="009A5F87" w:rsidRPr="0022050A" w:rsidRDefault="00645666" w:rsidP="0022050A">
      <w:pPr>
        <w:spacing w:after="0" w:line="480" w:lineRule="auto"/>
        <w:ind w:firstLine="720"/>
        <w:rPr>
          <w:rFonts w:ascii="Times New Roman" w:hAnsi="Times New Roman"/>
          <w:sz w:val="24"/>
          <w:szCs w:val="24"/>
        </w:rPr>
      </w:pPr>
      <w:r w:rsidRPr="0022050A">
        <w:rPr>
          <w:rFonts w:ascii="Times New Roman" w:hAnsi="Times New Roman"/>
          <w:sz w:val="24"/>
          <w:szCs w:val="24"/>
        </w:rPr>
        <w:t>Older people with hypertension are susceptible to issues that affect the drugs' pharmacokinetics and pharmacodynamics. For instance, age-related body changes, including impaired vision, low blood flow, and reduced renal and hepatic clearance affect drug absorption, distribution, metabolism, and elimination. As a result, these issues expose patients to adverse side effects of antihypertensive drugs. Consequently, primary care physicians (PCPs) should apply care models that recognize personal aspects and involve patients in collaborative care plans to optimize therapeutic plans.</w:t>
      </w:r>
    </w:p>
    <w:p w14:paraId="4BFAC676" w14:textId="77777777" w:rsidR="009A5F87" w:rsidRDefault="009A5F87" w:rsidP="0022050A">
      <w:pPr>
        <w:spacing w:after="0" w:line="480" w:lineRule="auto"/>
        <w:rPr>
          <w:rFonts w:ascii="Times New Roman" w:hAnsi="Times New Roman"/>
          <w:sz w:val="24"/>
          <w:szCs w:val="24"/>
        </w:rPr>
      </w:pPr>
    </w:p>
    <w:p w14:paraId="6E9C8218" w14:textId="77777777" w:rsidR="0022050A" w:rsidRDefault="0022050A" w:rsidP="0022050A">
      <w:pPr>
        <w:spacing w:after="0" w:line="480" w:lineRule="auto"/>
        <w:rPr>
          <w:rFonts w:ascii="Times New Roman" w:hAnsi="Times New Roman"/>
          <w:sz w:val="24"/>
          <w:szCs w:val="24"/>
        </w:rPr>
      </w:pPr>
    </w:p>
    <w:p w14:paraId="0537BBC6" w14:textId="77777777" w:rsidR="0022050A" w:rsidRDefault="0022050A" w:rsidP="0022050A">
      <w:pPr>
        <w:spacing w:after="0" w:line="480" w:lineRule="auto"/>
        <w:rPr>
          <w:rFonts w:ascii="Times New Roman" w:hAnsi="Times New Roman"/>
          <w:sz w:val="24"/>
          <w:szCs w:val="24"/>
        </w:rPr>
      </w:pPr>
    </w:p>
    <w:p w14:paraId="462B4185" w14:textId="77777777" w:rsidR="0022050A" w:rsidRDefault="0022050A" w:rsidP="0022050A">
      <w:pPr>
        <w:spacing w:after="0" w:line="480" w:lineRule="auto"/>
        <w:rPr>
          <w:rFonts w:ascii="Times New Roman" w:hAnsi="Times New Roman"/>
          <w:sz w:val="24"/>
          <w:szCs w:val="24"/>
        </w:rPr>
      </w:pPr>
    </w:p>
    <w:p w14:paraId="047D53B3" w14:textId="77777777" w:rsidR="0022050A" w:rsidRDefault="0022050A" w:rsidP="0022050A">
      <w:pPr>
        <w:spacing w:after="0" w:line="480" w:lineRule="auto"/>
        <w:rPr>
          <w:rFonts w:ascii="Times New Roman" w:hAnsi="Times New Roman"/>
          <w:sz w:val="24"/>
          <w:szCs w:val="24"/>
        </w:rPr>
      </w:pPr>
    </w:p>
    <w:p w14:paraId="5700BF56" w14:textId="77777777" w:rsidR="0022050A" w:rsidRDefault="0022050A" w:rsidP="0022050A">
      <w:pPr>
        <w:spacing w:after="0" w:line="480" w:lineRule="auto"/>
        <w:rPr>
          <w:rFonts w:ascii="Times New Roman" w:hAnsi="Times New Roman"/>
          <w:sz w:val="24"/>
          <w:szCs w:val="24"/>
        </w:rPr>
      </w:pPr>
    </w:p>
    <w:p w14:paraId="52B920C1" w14:textId="77777777" w:rsidR="0022050A" w:rsidRDefault="0022050A" w:rsidP="0022050A">
      <w:pPr>
        <w:spacing w:after="0" w:line="480" w:lineRule="auto"/>
        <w:rPr>
          <w:rFonts w:ascii="Times New Roman" w:hAnsi="Times New Roman"/>
          <w:sz w:val="24"/>
          <w:szCs w:val="24"/>
        </w:rPr>
      </w:pPr>
    </w:p>
    <w:p w14:paraId="232A7624" w14:textId="77777777" w:rsidR="0022050A" w:rsidRDefault="0022050A" w:rsidP="0022050A">
      <w:pPr>
        <w:spacing w:after="0" w:line="480" w:lineRule="auto"/>
        <w:rPr>
          <w:rFonts w:ascii="Times New Roman" w:hAnsi="Times New Roman"/>
          <w:sz w:val="24"/>
          <w:szCs w:val="24"/>
        </w:rPr>
      </w:pPr>
    </w:p>
    <w:p w14:paraId="2F02F761" w14:textId="77777777" w:rsidR="0022050A" w:rsidRDefault="0022050A" w:rsidP="0022050A">
      <w:pPr>
        <w:spacing w:after="0" w:line="480" w:lineRule="auto"/>
        <w:rPr>
          <w:rFonts w:ascii="Times New Roman" w:hAnsi="Times New Roman"/>
          <w:sz w:val="24"/>
          <w:szCs w:val="24"/>
        </w:rPr>
      </w:pPr>
    </w:p>
    <w:p w14:paraId="1FD915D6" w14:textId="77777777" w:rsidR="0022050A" w:rsidRPr="0022050A" w:rsidRDefault="0022050A" w:rsidP="0022050A">
      <w:pPr>
        <w:pStyle w:val="NormalWeb"/>
        <w:spacing w:before="0" w:beforeAutospacing="0" w:after="0" w:afterAutospacing="0" w:line="480" w:lineRule="auto"/>
        <w:jc w:val="center"/>
        <w:rPr>
          <w:b/>
          <w:bCs/>
        </w:rPr>
      </w:pPr>
      <w:r w:rsidRPr="0022050A">
        <w:rPr>
          <w:b/>
          <w:bCs/>
        </w:rPr>
        <w:t>References</w:t>
      </w:r>
    </w:p>
    <w:p w14:paraId="66278529" w14:textId="77777777" w:rsidR="0022050A" w:rsidRDefault="0022050A" w:rsidP="0022050A">
      <w:pPr>
        <w:pStyle w:val="NormalWeb"/>
        <w:spacing w:before="0" w:beforeAutospacing="0" w:after="0" w:afterAutospacing="0" w:line="480" w:lineRule="auto"/>
        <w:ind w:left="720" w:hanging="720"/>
      </w:pPr>
      <w:r>
        <w:t xml:space="preserve">Drenth‐van Maanen, A. C., Wilting, I., &amp; Jansen, P. A. F. (2019). Prescribing medicines to older people—How to consider the impact of aging on human organs and body functions. </w:t>
      </w:r>
      <w:r>
        <w:rPr>
          <w:i/>
          <w:iCs/>
        </w:rPr>
        <w:t>British Journal of Clinical Pharmacology</w:t>
      </w:r>
      <w:r>
        <w:t xml:space="preserve">, </w:t>
      </w:r>
      <w:r>
        <w:rPr>
          <w:i/>
          <w:iCs/>
        </w:rPr>
        <w:t>86</w:t>
      </w:r>
      <w:r>
        <w:t xml:space="preserve">(10), 1921–1930. </w:t>
      </w:r>
      <w:hyperlink r:id="rId7" w:history="1">
        <w:r w:rsidRPr="000034CC">
          <w:rPr>
            <w:rStyle w:val="Hyperlink"/>
          </w:rPr>
          <w:t>https://doi.org/10.1111/bcp.14094</w:t>
        </w:r>
      </w:hyperlink>
      <w:r>
        <w:t xml:space="preserve"> </w:t>
      </w:r>
    </w:p>
    <w:p w14:paraId="152C6E9B" w14:textId="77777777" w:rsidR="0022050A" w:rsidRDefault="0022050A" w:rsidP="0022050A">
      <w:pPr>
        <w:pStyle w:val="NormalWeb"/>
        <w:spacing w:before="0" w:beforeAutospacing="0" w:after="0" w:afterAutospacing="0" w:line="480" w:lineRule="auto"/>
        <w:ind w:left="720" w:hanging="720"/>
      </w:pPr>
      <w:r>
        <w:t xml:space="preserve">Rosenthal, L., &amp; Burchum, J. (2021). </w:t>
      </w:r>
      <w:r>
        <w:rPr>
          <w:i/>
          <w:iCs/>
        </w:rPr>
        <w:t>Lehne’s pharmacotherapeutics for advanced practice nurses and physician assistants</w:t>
      </w:r>
      <w:r>
        <w:t xml:space="preserve"> (2nd ed.). Saunders.</w:t>
      </w:r>
    </w:p>
    <w:p w14:paraId="649BFBAF" w14:textId="77777777" w:rsidR="0022050A" w:rsidRDefault="0022050A" w:rsidP="0022050A">
      <w:pPr>
        <w:pStyle w:val="NormalWeb"/>
        <w:spacing w:before="0" w:beforeAutospacing="0" w:after="0" w:afterAutospacing="0" w:line="480" w:lineRule="auto"/>
        <w:ind w:left="720" w:hanging="720"/>
      </w:pPr>
      <w:r>
        <w:t xml:space="preserve">Schwartz, J. B., </w:t>
      </w:r>
      <w:proofErr w:type="spellStart"/>
      <w:r>
        <w:t>Schmader</w:t>
      </w:r>
      <w:proofErr w:type="spellEnd"/>
      <w:r>
        <w:t xml:space="preserve">, K. E., Hanlon, J. T., Abernethy, D. R., Gray, S., Dunbar‐Jacob, J., Holmes, H. M., Murray, M. D., Roberts, R., Joyner, M., Peterson, J., Lindeman, D., Tai‐Seale, M., Downey, L., &amp; Rich, M. W. (2018). Pharmacotherapy in older adults with cardiovascular disease: Report from an American College of Cardiology, American Geriatrics Society, and National Institute on Aging workshop. </w:t>
      </w:r>
      <w:r>
        <w:rPr>
          <w:i/>
          <w:iCs/>
        </w:rPr>
        <w:t>Journal of the American Geriatrics Society</w:t>
      </w:r>
      <w:r>
        <w:t xml:space="preserve">. </w:t>
      </w:r>
      <w:hyperlink r:id="rId8" w:history="1">
        <w:r w:rsidRPr="000034CC">
          <w:rPr>
            <w:rStyle w:val="Hyperlink"/>
          </w:rPr>
          <w:t>https://doi.org/10.1111/jgs.15634</w:t>
        </w:r>
      </w:hyperlink>
      <w:r>
        <w:t xml:space="preserve"> </w:t>
      </w:r>
    </w:p>
    <w:p w14:paraId="4F135E70" w14:textId="77777777" w:rsidR="0022050A" w:rsidRPr="0022050A" w:rsidRDefault="0022050A" w:rsidP="0022050A">
      <w:pPr>
        <w:spacing w:after="0" w:line="480" w:lineRule="auto"/>
        <w:rPr>
          <w:rFonts w:ascii="Times New Roman" w:hAnsi="Times New Roman"/>
          <w:sz w:val="24"/>
          <w:szCs w:val="24"/>
        </w:rPr>
      </w:pPr>
    </w:p>
    <w:sectPr w:rsidR="0022050A" w:rsidRPr="0022050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8F36" w14:textId="77777777" w:rsidR="0022050A" w:rsidRDefault="0022050A" w:rsidP="0022050A">
      <w:pPr>
        <w:spacing w:after="0" w:line="240" w:lineRule="auto"/>
      </w:pPr>
      <w:r>
        <w:separator/>
      </w:r>
    </w:p>
  </w:endnote>
  <w:endnote w:type="continuationSeparator" w:id="0">
    <w:p w14:paraId="46ACCAA1" w14:textId="77777777" w:rsidR="0022050A" w:rsidRDefault="0022050A" w:rsidP="0022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1207" w14:textId="77777777" w:rsidR="0022050A" w:rsidRDefault="0022050A" w:rsidP="0022050A">
      <w:pPr>
        <w:spacing w:after="0" w:line="240" w:lineRule="auto"/>
      </w:pPr>
      <w:r>
        <w:separator/>
      </w:r>
    </w:p>
  </w:footnote>
  <w:footnote w:type="continuationSeparator" w:id="0">
    <w:p w14:paraId="676B77A0" w14:textId="77777777" w:rsidR="0022050A" w:rsidRDefault="0022050A" w:rsidP="00220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2D47" w14:textId="77777777" w:rsidR="0022050A" w:rsidRPr="0022050A" w:rsidRDefault="0022050A" w:rsidP="0022050A">
    <w:pPr>
      <w:pStyle w:val="Header"/>
      <w:spacing w:after="0" w:line="480" w:lineRule="auto"/>
      <w:jc w:val="right"/>
      <w:rPr>
        <w:rFonts w:ascii="Times New Roman" w:hAnsi="Times New Roman"/>
        <w:sz w:val="24"/>
        <w:szCs w:val="24"/>
      </w:rPr>
    </w:pPr>
    <w:r w:rsidRPr="0022050A">
      <w:rPr>
        <w:rFonts w:ascii="Times New Roman" w:hAnsi="Times New Roman"/>
        <w:sz w:val="24"/>
        <w:szCs w:val="24"/>
      </w:rPr>
      <w:fldChar w:fldCharType="begin"/>
    </w:r>
    <w:r w:rsidRPr="0022050A">
      <w:rPr>
        <w:rFonts w:ascii="Times New Roman" w:hAnsi="Times New Roman"/>
        <w:sz w:val="24"/>
        <w:szCs w:val="24"/>
      </w:rPr>
      <w:instrText xml:space="preserve"> PAGE   \* MERGEFORMAT </w:instrText>
    </w:r>
    <w:r w:rsidRPr="0022050A">
      <w:rPr>
        <w:rFonts w:ascii="Times New Roman" w:hAnsi="Times New Roman"/>
        <w:sz w:val="24"/>
        <w:szCs w:val="24"/>
      </w:rPr>
      <w:fldChar w:fldCharType="separate"/>
    </w:r>
    <w:r w:rsidRPr="0022050A">
      <w:rPr>
        <w:rFonts w:ascii="Times New Roman" w:hAnsi="Times New Roman"/>
        <w:noProof/>
        <w:sz w:val="24"/>
        <w:szCs w:val="24"/>
      </w:rPr>
      <w:t>2</w:t>
    </w:r>
    <w:r w:rsidRPr="0022050A">
      <w:rPr>
        <w:rFonts w:ascii="Times New Roman" w:hAnsi="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87"/>
    <w:rsid w:val="0022050A"/>
    <w:rsid w:val="002477BB"/>
    <w:rsid w:val="00645666"/>
    <w:rsid w:val="009A5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06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50A"/>
    <w:pPr>
      <w:tabs>
        <w:tab w:val="center" w:pos="4680"/>
        <w:tab w:val="right" w:pos="9360"/>
      </w:tabs>
    </w:pPr>
  </w:style>
  <w:style w:type="character" w:customStyle="1" w:styleId="HeaderChar">
    <w:name w:val="Header Char"/>
    <w:basedOn w:val="DefaultParagraphFont"/>
    <w:link w:val="Header"/>
    <w:uiPriority w:val="99"/>
    <w:rsid w:val="0022050A"/>
    <w:rPr>
      <w:sz w:val="22"/>
      <w:szCs w:val="22"/>
    </w:rPr>
  </w:style>
  <w:style w:type="paragraph" w:styleId="Footer">
    <w:name w:val="footer"/>
    <w:basedOn w:val="Normal"/>
    <w:link w:val="FooterChar"/>
    <w:uiPriority w:val="99"/>
    <w:unhideWhenUsed/>
    <w:rsid w:val="0022050A"/>
    <w:pPr>
      <w:tabs>
        <w:tab w:val="center" w:pos="4680"/>
        <w:tab w:val="right" w:pos="9360"/>
      </w:tabs>
    </w:pPr>
  </w:style>
  <w:style w:type="character" w:customStyle="1" w:styleId="FooterChar">
    <w:name w:val="Footer Char"/>
    <w:basedOn w:val="DefaultParagraphFont"/>
    <w:link w:val="Footer"/>
    <w:uiPriority w:val="99"/>
    <w:rsid w:val="0022050A"/>
    <w:rPr>
      <w:sz w:val="22"/>
      <w:szCs w:val="22"/>
    </w:rPr>
  </w:style>
  <w:style w:type="paragraph" w:styleId="NormalWeb">
    <w:name w:val="Normal (Web)"/>
    <w:basedOn w:val="Normal"/>
    <w:uiPriority w:val="99"/>
    <w:semiHidden/>
    <w:unhideWhenUsed/>
    <w:rsid w:val="0022050A"/>
    <w:pPr>
      <w:spacing w:before="100" w:beforeAutospacing="1" w:after="100" w:afterAutospacing="1" w:line="240" w:lineRule="auto"/>
    </w:pPr>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22050A"/>
    <w:rPr>
      <w:color w:val="0000FF" w:themeColor="hyperlink"/>
      <w:u w:val="single"/>
    </w:rPr>
  </w:style>
  <w:style w:type="character" w:styleId="UnresolvedMention">
    <w:name w:val="Unresolved Mention"/>
    <w:basedOn w:val="DefaultParagraphFont"/>
    <w:uiPriority w:val="99"/>
    <w:semiHidden/>
    <w:unhideWhenUsed/>
    <w:rsid w:val="00220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7955">
      <w:bodyDiv w:val="1"/>
      <w:marLeft w:val="0"/>
      <w:marRight w:val="0"/>
      <w:marTop w:val="0"/>
      <w:marBottom w:val="0"/>
      <w:divBdr>
        <w:top w:val="none" w:sz="0" w:space="0" w:color="auto"/>
        <w:left w:val="none" w:sz="0" w:space="0" w:color="auto"/>
        <w:bottom w:val="none" w:sz="0" w:space="0" w:color="auto"/>
        <w:right w:val="none" w:sz="0" w:space="0" w:color="auto"/>
      </w:divBdr>
      <w:divsChild>
        <w:div w:id="913271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gs.15634" TargetMode="External"/><Relationship Id="rId3" Type="http://schemas.openxmlformats.org/officeDocument/2006/relationships/settings" Target="settings.xml"/><Relationship Id="rId7" Type="http://schemas.openxmlformats.org/officeDocument/2006/relationships/hyperlink" Target="https://doi.org/10.1111/bcp.1409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01C8F-4AD1-4A90-AAD5-3F0703E6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848</Words>
  <Characters>5317</Characters>
  <Application>Microsoft Office Word</Application>
  <DocSecurity>0</DocSecurity>
  <Lines>108</Lines>
  <Paragraphs>23</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2023-04-26T18:16:00Z</dcterms:created>
  <dcterms:modified xsi:type="dcterms:W3CDTF">2023-04-26T18:16:00Z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351fe41e38b1eec3dc3dbc796b64ae572db6b718bac99d1f91027fc98f5e6ecb</vt:lpwstr>
  </property>
</Properties>
</file>